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AB4A6" w14:textId="395CD2AA" w:rsidR="00516E6D" w:rsidRPr="00516E6D" w:rsidRDefault="00516E6D" w:rsidP="00FD08CD">
      <w:pPr>
        <w:spacing w:before="15" w:after="150" w:line="276" w:lineRule="auto"/>
        <w:jc w:val="center"/>
        <w:outlineLvl w:val="2"/>
        <w:rPr>
          <w:rFonts w:ascii="Times New Roman" w:eastAsia="Times New Roman" w:hAnsi="Times New Roman" w:cs="Times New Roman"/>
          <w:b/>
          <w:bCs/>
          <w:color w:val="000000"/>
          <w:sz w:val="22"/>
          <w:szCs w:val="22"/>
        </w:rPr>
      </w:pPr>
      <w:bookmarkStart w:id="0" w:name="_GoBack"/>
      <w:bookmarkEnd w:id="0"/>
      <w:r w:rsidRPr="00516E6D">
        <w:rPr>
          <w:rFonts w:ascii="Times New Roman" w:eastAsia="Times New Roman" w:hAnsi="Times New Roman" w:cs="Times New Roman"/>
          <w:b/>
          <w:bCs/>
          <w:color w:val="000000"/>
          <w:sz w:val="22"/>
          <w:szCs w:val="22"/>
        </w:rPr>
        <w:t xml:space="preserve">AALS Section on Real Estate Transactions and Section </w:t>
      </w:r>
      <w:r w:rsidR="00AA681A">
        <w:rPr>
          <w:rFonts w:ascii="Times New Roman" w:eastAsia="Times New Roman" w:hAnsi="Times New Roman" w:cs="Times New Roman"/>
          <w:b/>
          <w:bCs/>
          <w:color w:val="000000"/>
          <w:sz w:val="22"/>
          <w:szCs w:val="22"/>
        </w:rPr>
        <w:t xml:space="preserve">on </w:t>
      </w:r>
      <w:r w:rsidRPr="00516E6D">
        <w:rPr>
          <w:rFonts w:ascii="Times New Roman" w:eastAsia="Times New Roman" w:hAnsi="Times New Roman" w:cs="Times New Roman"/>
          <w:b/>
          <w:bCs/>
          <w:color w:val="000000"/>
          <w:sz w:val="22"/>
          <w:szCs w:val="22"/>
        </w:rPr>
        <w:t>Academic Support</w:t>
      </w:r>
    </w:p>
    <w:p w14:paraId="39FB3987" w14:textId="77777777" w:rsidR="00516E6D" w:rsidRPr="00516E6D" w:rsidRDefault="00516E6D" w:rsidP="00FD08CD">
      <w:pPr>
        <w:spacing w:line="276" w:lineRule="auto"/>
        <w:jc w:val="center"/>
        <w:rPr>
          <w:rFonts w:ascii="Times New Roman" w:hAnsi="Times New Roman" w:cs="Times New Roman"/>
          <w:b/>
          <w:i/>
          <w:smallCaps/>
          <w:sz w:val="22"/>
          <w:szCs w:val="22"/>
        </w:rPr>
      </w:pPr>
      <w:r w:rsidRPr="00516E6D">
        <w:rPr>
          <w:rFonts w:ascii="Times New Roman" w:hAnsi="Times New Roman" w:cs="Times New Roman"/>
          <w:b/>
          <w:i/>
          <w:smallCaps/>
          <w:sz w:val="22"/>
          <w:szCs w:val="22"/>
        </w:rPr>
        <w:t xml:space="preserve">The Changing Architecture of Legal Education:  </w:t>
      </w:r>
    </w:p>
    <w:p w14:paraId="4F211560" w14:textId="3E5182A7" w:rsidR="00516E6D" w:rsidRPr="00516E6D" w:rsidRDefault="00516E6D" w:rsidP="00FD08CD">
      <w:pPr>
        <w:spacing w:line="276" w:lineRule="auto"/>
        <w:jc w:val="center"/>
        <w:rPr>
          <w:rFonts w:ascii="Times New Roman" w:eastAsia="Times New Roman" w:hAnsi="Times New Roman" w:cs="Times New Roman"/>
          <w:color w:val="000000"/>
          <w:sz w:val="22"/>
          <w:szCs w:val="22"/>
        </w:rPr>
      </w:pPr>
      <w:r>
        <w:rPr>
          <w:rFonts w:ascii="Times New Roman" w:hAnsi="Times New Roman" w:cs="Times New Roman"/>
          <w:b/>
          <w:i/>
          <w:smallCaps/>
          <w:sz w:val="22"/>
          <w:szCs w:val="22"/>
        </w:rPr>
        <w:t xml:space="preserve">Real </w:t>
      </w:r>
      <w:r w:rsidR="006A230A">
        <w:rPr>
          <w:rFonts w:ascii="Times New Roman" w:hAnsi="Times New Roman" w:cs="Times New Roman"/>
          <w:b/>
          <w:i/>
          <w:smallCaps/>
          <w:sz w:val="22"/>
          <w:szCs w:val="22"/>
        </w:rPr>
        <w:t>Estate Transactions</w:t>
      </w:r>
      <w:r>
        <w:rPr>
          <w:rFonts w:ascii="Times New Roman" w:hAnsi="Times New Roman" w:cs="Times New Roman"/>
          <w:b/>
          <w:i/>
          <w:smallCaps/>
          <w:sz w:val="22"/>
          <w:szCs w:val="22"/>
        </w:rPr>
        <w:t xml:space="preserve"> as a Case Study</w:t>
      </w:r>
    </w:p>
    <w:p w14:paraId="433DF23F" w14:textId="77777777" w:rsidR="00516E6D" w:rsidRPr="00516E6D" w:rsidRDefault="00516E6D" w:rsidP="00FD08CD">
      <w:pPr>
        <w:spacing w:line="276" w:lineRule="auto"/>
        <w:rPr>
          <w:rFonts w:ascii="Times New Roman" w:eastAsia="Times New Roman" w:hAnsi="Times New Roman" w:cs="Times New Roman"/>
          <w:color w:val="000000"/>
          <w:sz w:val="22"/>
          <w:szCs w:val="22"/>
        </w:rPr>
      </w:pPr>
      <w:r w:rsidRPr="00516E6D">
        <w:rPr>
          <w:rFonts w:ascii="Times New Roman" w:eastAsia="Times New Roman" w:hAnsi="Times New Roman" w:cs="Times New Roman"/>
          <w:color w:val="000000"/>
          <w:sz w:val="22"/>
          <w:szCs w:val="22"/>
        </w:rPr>
        <w:t> </w:t>
      </w:r>
    </w:p>
    <w:p w14:paraId="00853E90" w14:textId="77777777" w:rsidR="008202A9" w:rsidRPr="0001425F" w:rsidRDefault="008202A9" w:rsidP="008202A9">
      <w:pPr>
        <w:spacing w:line="276" w:lineRule="auto"/>
        <w:jc w:val="both"/>
        <w:rPr>
          <w:rFonts w:ascii="Times New Roman" w:eastAsia="Times New Roman" w:hAnsi="Times New Roman" w:cs="Times New Roman"/>
          <w:b/>
          <w:color w:val="000000"/>
          <w:sz w:val="22"/>
          <w:szCs w:val="22"/>
        </w:rPr>
      </w:pPr>
      <w:r w:rsidRPr="0001425F">
        <w:rPr>
          <w:rFonts w:ascii="Times New Roman" w:eastAsia="Times New Roman" w:hAnsi="Times New Roman" w:cs="Times New Roman"/>
          <w:b/>
          <w:color w:val="000000"/>
          <w:sz w:val="22"/>
          <w:szCs w:val="22"/>
          <w:u w:val="single"/>
        </w:rPr>
        <w:t>Seeking Panelists:</w:t>
      </w:r>
    </w:p>
    <w:p w14:paraId="32D40380" w14:textId="1585BE21" w:rsidR="008202A9" w:rsidRPr="008202A9" w:rsidRDefault="008202A9" w:rsidP="008202A9">
      <w:pPr>
        <w:spacing w:before="120" w:line="276" w:lineRule="auto"/>
        <w:ind w:left="720" w:hanging="270"/>
        <w:jc w:val="both"/>
        <w:rPr>
          <w:rFonts w:ascii="Times New Roman" w:eastAsia="Times New Roman" w:hAnsi="Times New Roman" w:cs="Times New Roman"/>
          <w:i/>
          <w:color w:val="000000"/>
          <w:sz w:val="22"/>
          <w:szCs w:val="22"/>
        </w:rPr>
      </w:pPr>
      <w:r w:rsidRPr="008202A9">
        <w:rPr>
          <w:rFonts w:ascii="Times New Roman" w:eastAsia="Times New Roman" w:hAnsi="Times New Roman" w:cs="Times New Roman"/>
          <w:i/>
          <w:color w:val="000000"/>
          <w:sz w:val="22"/>
          <w:szCs w:val="22"/>
        </w:rPr>
        <w:t>What real property law courses</w:t>
      </w:r>
      <w:r w:rsidR="00014FAC">
        <w:rPr>
          <w:rFonts w:ascii="Times New Roman" w:eastAsia="Times New Roman" w:hAnsi="Times New Roman" w:cs="Times New Roman"/>
          <w:i/>
          <w:color w:val="000000"/>
          <w:sz w:val="22"/>
          <w:szCs w:val="22"/>
        </w:rPr>
        <w:t xml:space="preserve"> </w:t>
      </w:r>
      <w:r w:rsidRPr="008202A9">
        <w:rPr>
          <w:rFonts w:ascii="Times New Roman" w:eastAsia="Times New Roman" w:hAnsi="Times New Roman" w:cs="Times New Roman"/>
          <w:i/>
          <w:color w:val="000000"/>
          <w:sz w:val="22"/>
          <w:szCs w:val="22"/>
        </w:rPr>
        <w:t>should law schools be teaching?</w:t>
      </w:r>
    </w:p>
    <w:p w14:paraId="0A971B12" w14:textId="77777777" w:rsidR="008202A9" w:rsidRPr="008202A9" w:rsidRDefault="008202A9" w:rsidP="008202A9">
      <w:pPr>
        <w:spacing w:before="60" w:line="276" w:lineRule="auto"/>
        <w:ind w:left="720" w:hanging="270"/>
        <w:jc w:val="both"/>
        <w:rPr>
          <w:rFonts w:ascii="Times New Roman" w:eastAsia="Times New Roman" w:hAnsi="Times New Roman" w:cs="Times New Roman"/>
          <w:i/>
          <w:color w:val="000000"/>
          <w:sz w:val="22"/>
          <w:szCs w:val="22"/>
        </w:rPr>
      </w:pPr>
      <w:r w:rsidRPr="008202A9">
        <w:rPr>
          <w:rFonts w:ascii="Times New Roman" w:eastAsia="Times New Roman" w:hAnsi="Times New Roman" w:cs="Times New Roman"/>
          <w:i/>
          <w:color w:val="000000"/>
          <w:sz w:val="22"/>
          <w:szCs w:val="22"/>
        </w:rPr>
        <w:t>Who should be teaching these courses?</w:t>
      </w:r>
    </w:p>
    <w:p w14:paraId="23B9AC00" w14:textId="46DBC311" w:rsidR="008202A9" w:rsidRPr="008202A9" w:rsidRDefault="008202A9" w:rsidP="008202A9">
      <w:pPr>
        <w:spacing w:before="60" w:line="276" w:lineRule="auto"/>
        <w:ind w:left="720" w:hanging="270"/>
        <w:jc w:val="both"/>
        <w:rPr>
          <w:rFonts w:ascii="Times New Roman" w:eastAsia="Times New Roman" w:hAnsi="Times New Roman" w:cs="Times New Roman"/>
          <w:i/>
          <w:color w:val="000000"/>
          <w:sz w:val="22"/>
          <w:szCs w:val="22"/>
        </w:rPr>
      </w:pPr>
      <w:r w:rsidRPr="008202A9">
        <w:rPr>
          <w:rFonts w:ascii="Times New Roman" w:eastAsia="Times New Roman" w:hAnsi="Times New Roman" w:cs="Times New Roman"/>
          <w:i/>
          <w:color w:val="000000"/>
          <w:sz w:val="22"/>
          <w:szCs w:val="22"/>
        </w:rPr>
        <w:t>How should the courses be taught?</w:t>
      </w:r>
    </w:p>
    <w:p w14:paraId="6F0C0539" w14:textId="20F5D4F1" w:rsidR="008202A9" w:rsidRPr="008202A9" w:rsidRDefault="008202A9" w:rsidP="008202A9">
      <w:pPr>
        <w:spacing w:before="120"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Section on Real Estate Transactions and the Section on Academic Support seek to explore these questions and related issues at their joint online session during the 2021 AALS Annual Meeting, </w:t>
      </w:r>
      <w:r>
        <w:rPr>
          <w:rFonts w:ascii="Times New Roman" w:eastAsia="Times New Roman" w:hAnsi="Times New Roman" w:cs="Times New Roman"/>
          <w:i/>
          <w:color w:val="000000"/>
          <w:sz w:val="22"/>
          <w:szCs w:val="22"/>
        </w:rPr>
        <w:t>The Changing Architecture of Approaches to Legal Education: Real Estate Transactions as a Case Study.</w:t>
      </w:r>
      <w:r>
        <w:rPr>
          <w:rFonts w:ascii="Times New Roman" w:eastAsia="Times New Roman" w:hAnsi="Times New Roman" w:cs="Times New Roman"/>
          <w:color w:val="000000"/>
          <w:sz w:val="22"/>
          <w:szCs w:val="22"/>
        </w:rPr>
        <w:t xml:space="preserve"> </w:t>
      </w:r>
    </w:p>
    <w:p w14:paraId="4C848E72" w14:textId="738CACDE" w:rsidR="000133FF" w:rsidRDefault="008202A9" w:rsidP="00014FAC">
      <w:pPr>
        <w:spacing w:before="120" w:after="120" w:line="276" w:lineRule="auto"/>
        <w:jc w:val="both"/>
        <w:rPr>
          <w:rFonts w:ascii="Times New Roman" w:eastAsia="Times New Roman" w:hAnsi="Times New Roman" w:cs="Times New Roman"/>
          <w:color w:val="000000"/>
          <w:sz w:val="22"/>
          <w:szCs w:val="22"/>
          <w:shd w:val="clear" w:color="auto" w:fill="FFFFFF"/>
        </w:rPr>
      </w:pPr>
      <w:r>
        <w:rPr>
          <w:rFonts w:ascii="Times New Roman" w:eastAsia="Times New Roman" w:hAnsi="Times New Roman" w:cs="Times New Roman"/>
          <w:color w:val="000000"/>
          <w:sz w:val="22"/>
          <w:szCs w:val="22"/>
          <w:shd w:val="clear" w:color="auto" w:fill="FFFFFF"/>
        </w:rPr>
        <w:t xml:space="preserve">Members of the legal academic community are invited to submit statements of interest in joining the panel of presenters who will discuss the following in the context of real property law </w:t>
      </w:r>
      <w:r w:rsidRPr="008202A9">
        <w:rPr>
          <w:rFonts w:ascii="Times New Roman" w:eastAsia="Times New Roman" w:hAnsi="Times New Roman" w:cs="Times New Roman"/>
          <w:color w:val="000000"/>
          <w:sz w:val="22"/>
          <w:szCs w:val="22"/>
          <w:shd w:val="clear" w:color="auto" w:fill="FFFFFF"/>
        </w:rPr>
        <w:t>and related courses (mortgage finance, securitization, commercial leasing, housing law, real estate development, etc.)</w:t>
      </w:r>
      <w:r>
        <w:rPr>
          <w:rFonts w:ascii="Times New Roman" w:eastAsia="Times New Roman" w:hAnsi="Times New Roman" w:cs="Times New Roman"/>
          <w:color w:val="000000"/>
          <w:sz w:val="22"/>
          <w:szCs w:val="22"/>
          <w:shd w:val="clear" w:color="auto" w:fill="FFFFFF"/>
        </w:rPr>
        <w:t>:</w:t>
      </w:r>
    </w:p>
    <w:p w14:paraId="13D20982" w14:textId="738CACDE" w:rsidR="008202A9" w:rsidRDefault="008202A9" w:rsidP="008202A9">
      <w:pPr>
        <w:pStyle w:val="ListParagraph"/>
        <w:numPr>
          <w:ilvl w:val="0"/>
          <w:numId w:val="4"/>
        </w:numPr>
        <w:spacing w:line="276" w:lineRule="auto"/>
        <w:jc w:val="both"/>
        <w:rPr>
          <w:rFonts w:ascii="Times New Roman" w:eastAsia="Times New Roman" w:hAnsi="Times New Roman" w:cs="Times New Roman"/>
          <w:color w:val="000000"/>
          <w:sz w:val="22"/>
          <w:szCs w:val="22"/>
          <w:shd w:val="clear" w:color="auto" w:fill="FFFFFF"/>
        </w:rPr>
      </w:pPr>
      <w:r>
        <w:rPr>
          <w:rFonts w:ascii="Times New Roman" w:eastAsia="Times New Roman" w:hAnsi="Times New Roman" w:cs="Times New Roman"/>
          <w:color w:val="000000"/>
          <w:sz w:val="22"/>
          <w:szCs w:val="22"/>
          <w:shd w:val="clear" w:color="auto" w:fill="FFFFFF"/>
        </w:rPr>
        <w:t xml:space="preserve">Law schools’ </w:t>
      </w:r>
      <w:r w:rsidRPr="008202A9">
        <w:rPr>
          <w:rFonts w:ascii="Times New Roman" w:eastAsia="Times New Roman" w:hAnsi="Times New Roman" w:cs="Times New Roman"/>
          <w:color w:val="000000"/>
          <w:sz w:val="22"/>
          <w:szCs w:val="22"/>
          <w:shd w:val="clear" w:color="auto" w:fill="FFFFFF"/>
        </w:rPr>
        <w:t>curricular choices</w:t>
      </w:r>
    </w:p>
    <w:p w14:paraId="3FACDF3D" w14:textId="7DC0087C" w:rsidR="008202A9" w:rsidRDefault="008202A9" w:rsidP="008202A9">
      <w:pPr>
        <w:pStyle w:val="ListParagraph"/>
        <w:numPr>
          <w:ilvl w:val="0"/>
          <w:numId w:val="4"/>
        </w:numPr>
        <w:spacing w:line="276" w:lineRule="auto"/>
        <w:jc w:val="both"/>
        <w:rPr>
          <w:rFonts w:ascii="Times New Roman" w:eastAsia="Times New Roman" w:hAnsi="Times New Roman" w:cs="Times New Roman"/>
          <w:color w:val="000000"/>
          <w:sz w:val="22"/>
          <w:szCs w:val="22"/>
          <w:shd w:val="clear" w:color="auto" w:fill="FFFFFF"/>
        </w:rPr>
      </w:pPr>
      <w:r>
        <w:rPr>
          <w:rFonts w:ascii="Times New Roman" w:eastAsia="Times New Roman" w:hAnsi="Times New Roman" w:cs="Times New Roman"/>
          <w:color w:val="000000"/>
          <w:sz w:val="22"/>
          <w:szCs w:val="22"/>
          <w:shd w:val="clear" w:color="auto" w:fill="FFFFFF"/>
        </w:rPr>
        <w:t>C</w:t>
      </w:r>
      <w:r w:rsidRPr="008202A9">
        <w:rPr>
          <w:rFonts w:ascii="Times New Roman" w:eastAsia="Times New Roman" w:hAnsi="Times New Roman" w:cs="Times New Roman"/>
          <w:color w:val="000000"/>
          <w:sz w:val="22"/>
          <w:szCs w:val="22"/>
          <w:shd w:val="clear" w:color="auto" w:fill="FFFFFF"/>
        </w:rPr>
        <w:t>ourse content and design</w:t>
      </w:r>
      <w:r>
        <w:rPr>
          <w:rFonts w:ascii="Times New Roman" w:eastAsia="Times New Roman" w:hAnsi="Times New Roman" w:cs="Times New Roman"/>
          <w:color w:val="000000"/>
          <w:sz w:val="22"/>
          <w:szCs w:val="22"/>
          <w:shd w:val="clear" w:color="auto" w:fill="FFFFFF"/>
        </w:rPr>
        <w:t xml:space="preserve"> </w:t>
      </w:r>
    </w:p>
    <w:p w14:paraId="2717D897" w14:textId="7624C53D" w:rsidR="008202A9" w:rsidRPr="008202A9" w:rsidRDefault="008202A9" w:rsidP="008202A9">
      <w:pPr>
        <w:pStyle w:val="ListParagraph"/>
        <w:numPr>
          <w:ilvl w:val="0"/>
          <w:numId w:val="4"/>
        </w:numPr>
        <w:spacing w:line="276" w:lineRule="auto"/>
        <w:jc w:val="both"/>
        <w:rPr>
          <w:rFonts w:ascii="Times New Roman" w:eastAsia="Times New Roman" w:hAnsi="Times New Roman" w:cs="Times New Roman"/>
          <w:color w:val="000000"/>
          <w:sz w:val="22"/>
          <w:szCs w:val="22"/>
          <w:shd w:val="clear" w:color="auto" w:fill="FFFFFF"/>
        </w:rPr>
      </w:pPr>
      <w:r>
        <w:rPr>
          <w:rFonts w:ascii="Times New Roman" w:eastAsia="Times New Roman" w:hAnsi="Times New Roman" w:cs="Times New Roman"/>
          <w:color w:val="000000"/>
          <w:sz w:val="22"/>
          <w:szCs w:val="22"/>
          <w:shd w:val="clear" w:color="auto" w:fill="FFFFFF"/>
        </w:rPr>
        <w:t>T</w:t>
      </w:r>
      <w:r w:rsidRPr="008202A9">
        <w:rPr>
          <w:rFonts w:ascii="Times New Roman" w:eastAsia="Times New Roman" w:hAnsi="Times New Roman" w:cs="Times New Roman"/>
          <w:color w:val="000000"/>
          <w:sz w:val="22"/>
          <w:szCs w:val="22"/>
          <w:shd w:val="clear" w:color="auto" w:fill="FFFFFF"/>
        </w:rPr>
        <w:t>eaching and pedagogy</w:t>
      </w:r>
      <w:r>
        <w:rPr>
          <w:rFonts w:ascii="Times New Roman" w:eastAsia="Times New Roman" w:hAnsi="Times New Roman" w:cs="Times New Roman"/>
          <w:color w:val="000000"/>
          <w:sz w:val="22"/>
          <w:szCs w:val="22"/>
          <w:shd w:val="clear" w:color="auto" w:fill="FFFFFF"/>
        </w:rPr>
        <w:t xml:space="preserve"> application. </w:t>
      </w:r>
    </w:p>
    <w:p w14:paraId="566D2D9F" w14:textId="77D73D29" w:rsidR="008202A9" w:rsidRDefault="008202A9" w:rsidP="008202A9">
      <w:pPr>
        <w:spacing w:before="120" w:line="276" w:lineRule="auto"/>
        <w:jc w:val="both"/>
        <w:rPr>
          <w:rFonts w:ascii="Times New Roman" w:eastAsia="Times New Roman" w:hAnsi="Times New Roman" w:cs="Times New Roman"/>
          <w:color w:val="000000"/>
          <w:sz w:val="22"/>
          <w:szCs w:val="22"/>
          <w:shd w:val="clear" w:color="auto" w:fill="FFFFFF"/>
        </w:rPr>
      </w:pPr>
      <w:r>
        <w:rPr>
          <w:rFonts w:ascii="Times New Roman" w:eastAsia="Times New Roman" w:hAnsi="Times New Roman" w:cs="Times New Roman"/>
          <w:color w:val="000000"/>
          <w:sz w:val="22"/>
          <w:szCs w:val="22"/>
          <w:shd w:val="clear" w:color="auto" w:fill="FFFFFF"/>
        </w:rPr>
        <w:t>As explained more in the “Background” section below, t</w:t>
      </w:r>
      <w:r w:rsidRPr="008202A9">
        <w:rPr>
          <w:rFonts w:ascii="Times New Roman" w:eastAsia="Times New Roman" w:hAnsi="Times New Roman" w:cs="Times New Roman"/>
          <w:color w:val="000000"/>
          <w:sz w:val="22"/>
          <w:szCs w:val="22"/>
          <w:shd w:val="clear" w:color="auto" w:fill="FFFFFF"/>
        </w:rPr>
        <w:t>he Sections are specifically looking to highlight issues related to course offerings</w:t>
      </w:r>
      <w:r w:rsidR="0050098A">
        <w:rPr>
          <w:rFonts w:ascii="Times New Roman" w:eastAsia="Times New Roman" w:hAnsi="Times New Roman" w:cs="Times New Roman"/>
          <w:color w:val="000000"/>
          <w:sz w:val="22"/>
          <w:szCs w:val="22"/>
          <w:shd w:val="clear" w:color="auto" w:fill="FFFFFF"/>
        </w:rPr>
        <w:t>, curricular design,</w:t>
      </w:r>
      <w:r w:rsidRPr="008202A9">
        <w:rPr>
          <w:rFonts w:ascii="Times New Roman" w:eastAsia="Times New Roman" w:hAnsi="Times New Roman" w:cs="Times New Roman"/>
          <w:color w:val="000000"/>
          <w:sz w:val="22"/>
          <w:szCs w:val="22"/>
          <w:shd w:val="clear" w:color="auto" w:fill="FFFFFF"/>
        </w:rPr>
        <w:t xml:space="preserve"> and teaching methodologies that can better prepare students for modern practice and ensure student achievement of course objectives. </w:t>
      </w:r>
      <w:r w:rsidRPr="008202A9">
        <w:rPr>
          <w:rFonts w:ascii="Times New Roman" w:eastAsia="Times New Roman" w:hAnsi="Times New Roman" w:cs="Times New Roman"/>
          <w:b/>
          <w:color w:val="000000"/>
          <w:sz w:val="22"/>
          <w:szCs w:val="22"/>
          <w:u w:val="single"/>
        </w:rPr>
        <w:t xml:space="preserve">Statements of interest (including a description/summary of your proposed presentation) should be emailed to </w:t>
      </w:r>
      <w:r>
        <w:rPr>
          <w:rFonts w:ascii="Times New Roman" w:eastAsia="Times New Roman" w:hAnsi="Times New Roman" w:cs="Times New Roman"/>
          <w:b/>
          <w:bCs/>
          <w:color w:val="000000"/>
          <w:sz w:val="22"/>
          <w:szCs w:val="22"/>
          <w:u w:val="single"/>
          <w:shd w:val="clear" w:color="auto" w:fill="FFFFFF"/>
        </w:rPr>
        <w:t>Andrea Boyack</w:t>
      </w:r>
      <w:r w:rsidRPr="00516E6D">
        <w:rPr>
          <w:rFonts w:ascii="Times New Roman" w:eastAsia="Times New Roman" w:hAnsi="Times New Roman" w:cs="Times New Roman"/>
          <w:b/>
          <w:bCs/>
          <w:color w:val="000000"/>
          <w:sz w:val="22"/>
          <w:szCs w:val="22"/>
          <w:u w:val="single"/>
          <w:shd w:val="clear" w:color="auto" w:fill="FFFFFF"/>
        </w:rPr>
        <w:t xml:space="preserve"> at </w:t>
      </w:r>
      <w:r>
        <w:rPr>
          <w:rFonts w:ascii="Times New Roman" w:eastAsia="Times New Roman" w:hAnsi="Times New Roman" w:cs="Times New Roman"/>
          <w:b/>
          <w:bCs/>
          <w:color w:val="000000"/>
          <w:sz w:val="22"/>
          <w:szCs w:val="22"/>
          <w:u w:val="single"/>
          <w:shd w:val="clear" w:color="auto" w:fill="FFFFFF"/>
        </w:rPr>
        <w:t>andrea.boyack</w:t>
      </w:r>
      <w:r w:rsidRPr="00516E6D">
        <w:rPr>
          <w:rFonts w:ascii="Times New Roman" w:eastAsia="Times New Roman" w:hAnsi="Times New Roman" w:cs="Times New Roman"/>
          <w:b/>
          <w:bCs/>
          <w:color w:val="000000"/>
          <w:sz w:val="22"/>
          <w:szCs w:val="22"/>
          <w:u w:val="single"/>
          <w:shd w:val="clear" w:color="auto" w:fill="FFFFFF"/>
        </w:rPr>
        <w:t>@</w:t>
      </w:r>
      <w:r>
        <w:rPr>
          <w:rFonts w:ascii="Times New Roman" w:eastAsia="Times New Roman" w:hAnsi="Times New Roman" w:cs="Times New Roman"/>
          <w:b/>
          <w:bCs/>
          <w:color w:val="000000"/>
          <w:sz w:val="22"/>
          <w:szCs w:val="22"/>
          <w:u w:val="single"/>
          <w:shd w:val="clear" w:color="auto" w:fill="FFFFFF"/>
        </w:rPr>
        <w:t>washburn</w:t>
      </w:r>
      <w:r w:rsidRPr="00516E6D">
        <w:rPr>
          <w:rFonts w:ascii="Times New Roman" w:eastAsia="Times New Roman" w:hAnsi="Times New Roman" w:cs="Times New Roman"/>
          <w:b/>
          <w:bCs/>
          <w:color w:val="000000"/>
          <w:sz w:val="22"/>
          <w:szCs w:val="22"/>
          <w:u w:val="single"/>
          <w:shd w:val="clear" w:color="auto" w:fill="FFFFFF"/>
        </w:rPr>
        <w:t xml:space="preserve">.edu by </w:t>
      </w:r>
      <w:r>
        <w:rPr>
          <w:rFonts w:ascii="Times New Roman" w:eastAsia="Times New Roman" w:hAnsi="Times New Roman" w:cs="Times New Roman"/>
          <w:b/>
          <w:bCs/>
          <w:color w:val="000000"/>
          <w:sz w:val="22"/>
          <w:szCs w:val="22"/>
          <w:u w:val="single"/>
          <w:shd w:val="clear" w:color="auto" w:fill="FFFFFF"/>
        </w:rPr>
        <w:t>September 17, 2020</w:t>
      </w:r>
      <w:r w:rsidRPr="00516E6D">
        <w:rPr>
          <w:rFonts w:ascii="Times New Roman" w:eastAsia="Times New Roman" w:hAnsi="Times New Roman" w:cs="Times New Roman"/>
          <w:color w:val="000000"/>
          <w:sz w:val="22"/>
          <w:szCs w:val="22"/>
          <w:shd w:val="clear" w:color="auto" w:fill="FFFFFF"/>
        </w:rPr>
        <w:t xml:space="preserve">. </w:t>
      </w:r>
    </w:p>
    <w:p w14:paraId="564A4075" w14:textId="60E93BB6" w:rsidR="008202A9" w:rsidRDefault="008202A9" w:rsidP="008202A9">
      <w:pPr>
        <w:spacing w:before="120" w:line="276" w:lineRule="auto"/>
        <w:jc w:val="both"/>
        <w:rPr>
          <w:rFonts w:ascii="Times New Roman" w:eastAsia="Times New Roman" w:hAnsi="Times New Roman" w:cs="Times New Roman"/>
          <w:color w:val="000000"/>
          <w:sz w:val="22"/>
          <w:szCs w:val="22"/>
        </w:rPr>
      </w:pPr>
      <w:r w:rsidRPr="00516E6D">
        <w:rPr>
          <w:rFonts w:ascii="Times New Roman" w:eastAsia="Times New Roman" w:hAnsi="Times New Roman" w:cs="Times New Roman"/>
          <w:color w:val="000000"/>
          <w:sz w:val="22"/>
          <w:szCs w:val="22"/>
        </w:rPr>
        <w:t>There is no formal paper requirement associated with participation on the panel. </w:t>
      </w:r>
    </w:p>
    <w:p w14:paraId="7997AD04" w14:textId="16F81AC3" w:rsidR="008202A9" w:rsidRPr="0001425F" w:rsidRDefault="008202A9" w:rsidP="0001425F">
      <w:pPr>
        <w:spacing w:before="120" w:line="276" w:lineRule="auto"/>
        <w:jc w:val="both"/>
        <w:rPr>
          <w:rFonts w:ascii="Times New Roman" w:eastAsia="Times New Roman" w:hAnsi="Times New Roman" w:cs="Times New Roman"/>
          <w:i/>
          <w:color w:val="000000"/>
          <w:sz w:val="22"/>
          <w:szCs w:val="22"/>
          <w:shd w:val="clear" w:color="auto" w:fill="FFFFFF"/>
        </w:rPr>
      </w:pPr>
      <w:r>
        <w:rPr>
          <w:rFonts w:ascii="Times New Roman" w:eastAsia="Times New Roman" w:hAnsi="Times New Roman" w:cs="Times New Roman"/>
          <w:i/>
          <w:color w:val="000000"/>
          <w:sz w:val="22"/>
          <w:szCs w:val="22"/>
          <w:shd w:val="clear" w:color="auto" w:fill="FFFFFF"/>
        </w:rPr>
        <w:t>**Note that the AALS Annual Meeting in January 2021 will be held in a completely digital format, and individual registration fees will not be charged for participation in/attendance at the Annual Meeting.**</w:t>
      </w:r>
    </w:p>
    <w:p w14:paraId="53FE1299" w14:textId="0785D76E" w:rsidR="00516E6D" w:rsidRPr="0001425F" w:rsidRDefault="008202A9" w:rsidP="0001425F">
      <w:pPr>
        <w:spacing w:before="240" w:line="276" w:lineRule="auto"/>
        <w:jc w:val="both"/>
        <w:rPr>
          <w:rFonts w:ascii="Times New Roman" w:eastAsia="Times New Roman" w:hAnsi="Times New Roman" w:cs="Times New Roman"/>
          <w:b/>
          <w:color w:val="000000"/>
          <w:sz w:val="22"/>
          <w:szCs w:val="22"/>
        </w:rPr>
      </w:pPr>
      <w:r w:rsidRPr="0001425F">
        <w:rPr>
          <w:rFonts w:ascii="Times New Roman" w:eastAsia="Times New Roman" w:hAnsi="Times New Roman" w:cs="Times New Roman"/>
          <w:b/>
          <w:color w:val="000000"/>
          <w:sz w:val="22"/>
          <w:szCs w:val="22"/>
          <w:u w:val="single"/>
        </w:rPr>
        <w:t>Background/Program Overview</w:t>
      </w:r>
      <w:r w:rsidR="00516E6D" w:rsidRPr="0001425F">
        <w:rPr>
          <w:rFonts w:ascii="Times New Roman" w:eastAsia="Times New Roman" w:hAnsi="Times New Roman" w:cs="Times New Roman"/>
          <w:b/>
          <w:color w:val="000000"/>
          <w:sz w:val="22"/>
          <w:szCs w:val="22"/>
          <w:u w:val="single"/>
        </w:rPr>
        <w:t>:</w:t>
      </w:r>
      <w:r w:rsidR="00516E6D" w:rsidRPr="00516E6D">
        <w:rPr>
          <w:rFonts w:ascii="Times New Roman" w:eastAsia="Times New Roman" w:hAnsi="Times New Roman" w:cs="Times New Roman"/>
          <w:color w:val="000000"/>
          <w:sz w:val="22"/>
          <w:szCs w:val="22"/>
        </w:rPr>
        <w:t> </w:t>
      </w:r>
    </w:p>
    <w:p w14:paraId="49941A23" w14:textId="34A65CB8" w:rsidR="00516E6D" w:rsidRDefault="00516E6D" w:rsidP="0001425F">
      <w:pPr>
        <w:spacing w:before="120" w:line="276" w:lineRule="auto"/>
        <w:jc w:val="both"/>
        <w:rPr>
          <w:rFonts w:ascii="Times" w:hAnsi="Times"/>
          <w:sz w:val="22"/>
          <w:szCs w:val="22"/>
        </w:rPr>
      </w:pPr>
      <w:r>
        <w:rPr>
          <w:rFonts w:ascii="Times New Roman" w:eastAsia="Times New Roman" w:hAnsi="Times New Roman" w:cs="Times New Roman"/>
          <w:color w:val="000000"/>
          <w:sz w:val="22"/>
          <w:szCs w:val="22"/>
        </w:rPr>
        <w:t xml:space="preserve">In the past decade, legal education has experienced a number of body blows from which it still struggles to recover. In 2007, </w:t>
      </w:r>
      <w:r>
        <w:rPr>
          <w:rFonts w:ascii="Times" w:hAnsi="Times"/>
          <w:i/>
          <w:iCs/>
          <w:sz w:val="22"/>
          <w:szCs w:val="22"/>
        </w:rPr>
        <w:t xml:space="preserve">Educating Lawyers: Preparation for the Profession of Law </w:t>
      </w:r>
      <w:r>
        <w:rPr>
          <w:rFonts w:ascii="Times" w:hAnsi="Times"/>
          <w:sz w:val="22"/>
          <w:szCs w:val="22"/>
        </w:rPr>
        <w:t xml:space="preserve">(more commonly known as the “Carnegie Report”) criticized the academy for insufficiently preparing students for legal practice. In the aftermath of the 2008 Financial Crisis and global recession, many attorneys (especially from Big Law) were laid off and new graduates faced fewer and fewer job prospects. Mainstream and social media spotlighted lawyer and law student discontent, worries about sustainability of legal careers and the high cost of legal education, schools skewing data to try to game US News rankings, and the growing number of for-profit institutions. </w:t>
      </w:r>
      <w:r w:rsidR="006A230A">
        <w:rPr>
          <w:rFonts w:ascii="Times" w:hAnsi="Times"/>
          <w:sz w:val="22"/>
          <w:szCs w:val="22"/>
        </w:rPr>
        <w:t xml:space="preserve">Law firms and their clients started exhibiting an increasing hesitancy with respect to hiring and training inexperienced attorneys. </w:t>
      </w:r>
      <w:r>
        <w:rPr>
          <w:rFonts w:ascii="Times" w:hAnsi="Times"/>
          <w:sz w:val="22"/>
          <w:szCs w:val="22"/>
        </w:rPr>
        <w:t>Law school admission rates tumbled as college graduates changed their opinions about the value of a legal education</w:t>
      </w:r>
      <w:r w:rsidR="006A230A">
        <w:rPr>
          <w:rFonts w:ascii="Times" w:hAnsi="Times"/>
          <w:sz w:val="22"/>
          <w:szCs w:val="22"/>
        </w:rPr>
        <w:t xml:space="preserve">, as the ABA began making new demands of law schools pertaining to skills training and assessments. </w:t>
      </w:r>
      <w:r>
        <w:rPr>
          <w:rFonts w:ascii="Times" w:hAnsi="Times"/>
          <w:sz w:val="22"/>
          <w:szCs w:val="22"/>
        </w:rPr>
        <w:t xml:space="preserve">The practice of law, in the meantime, has </w:t>
      </w:r>
      <w:r w:rsidR="006A230A">
        <w:rPr>
          <w:rFonts w:ascii="Times" w:hAnsi="Times"/>
          <w:sz w:val="22"/>
          <w:szCs w:val="22"/>
        </w:rPr>
        <w:t xml:space="preserve">changed dramatically, with automation, internet resources, and contract attorneys (or non-attorneys) taking the place </w:t>
      </w:r>
      <w:r>
        <w:rPr>
          <w:rFonts w:ascii="Times" w:hAnsi="Times"/>
          <w:sz w:val="22"/>
          <w:szCs w:val="22"/>
        </w:rPr>
        <w:t>perform</w:t>
      </w:r>
      <w:r w:rsidR="006A230A">
        <w:rPr>
          <w:rFonts w:ascii="Times" w:hAnsi="Times"/>
          <w:sz w:val="22"/>
          <w:szCs w:val="22"/>
        </w:rPr>
        <w:t>ing</w:t>
      </w:r>
      <w:r>
        <w:rPr>
          <w:rFonts w:ascii="Times" w:hAnsi="Times"/>
          <w:sz w:val="22"/>
          <w:szCs w:val="22"/>
        </w:rPr>
        <w:t xml:space="preserve"> tasks </w:t>
      </w:r>
      <w:r w:rsidR="006A230A">
        <w:rPr>
          <w:rFonts w:ascii="Times" w:hAnsi="Times"/>
          <w:sz w:val="22"/>
          <w:szCs w:val="22"/>
        </w:rPr>
        <w:t xml:space="preserve">lawyers once controlled. </w:t>
      </w:r>
      <w:r>
        <w:rPr>
          <w:rFonts w:ascii="Times" w:hAnsi="Times"/>
          <w:sz w:val="22"/>
          <w:szCs w:val="22"/>
        </w:rPr>
        <w:t xml:space="preserve">Furthermore, </w:t>
      </w:r>
      <w:r w:rsidR="006A230A">
        <w:rPr>
          <w:rFonts w:ascii="Times" w:hAnsi="Times"/>
          <w:sz w:val="22"/>
          <w:szCs w:val="22"/>
        </w:rPr>
        <w:t xml:space="preserve">schools have struggled to adapt to different expectations of </w:t>
      </w:r>
      <w:r>
        <w:rPr>
          <w:rFonts w:ascii="Times" w:hAnsi="Times"/>
          <w:sz w:val="22"/>
          <w:szCs w:val="22"/>
        </w:rPr>
        <w:t>the Millennial</w:t>
      </w:r>
      <w:r w:rsidR="006A230A">
        <w:rPr>
          <w:rFonts w:ascii="Times" w:hAnsi="Times"/>
          <w:sz w:val="22"/>
          <w:szCs w:val="22"/>
        </w:rPr>
        <w:t xml:space="preserve"> and Gen-Z</w:t>
      </w:r>
      <w:r>
        <w:rPr>
          <w:rFonts w:ascii="Times" w:hAnsi="Times"/>
          <w:sz w:val="22"/>
          <w:szCs w:val="22"/>
        </w:rPr>
        <w:t xml:space="preserve"> generation</w:t>
      </w:r>
      <w:r w:rsidR="006A230A">
        <w:rPr>
          <w:rFonts w:ascii="Times" w:hAnsi="Times"/>
          <w:sz w:val="22"/>
          <w:szCs w:val="22"/>
        </w:rPr>
        <w:t>s</w:t>
      </w:r>
      <w:r>
        <w:rPr>
          <w:rFonts w:ascii="Times" w:hAnsi="Times"/>
          <w:sz w:val="22"/>
          <w:szCs w:val="22"/>
        </w:rPr>
        <w:t xml:space="preserve"> of law students</w:t>
      </w:r>
      <w:r w:rsidR="006A230A">
        <w:rPr>
          <w:rFonts w:ascii="Times" w:hAnsi="Times"/>
          <w:sz w:val="22"/>
          <w:szCs w:val="22"/>
        </w:rPr>
        <w:t xml:space="preserve">. </w:t>
      </w:r>
      <w:r w:rsidR="0084757A">
        <w:rPr>
          <w:rFonts w:ascii="Times" w:hAnsi="Times"/>
          <w:sz w:val="22"/>
          <w:szCs w:val="22"/>
        </w:rPr>
        <w:t>Then, in March 2020, legal academia and law practice suddenly shifted to operating</w:t>
      </w:r>
      <w:r w:rsidR="00FD08CD">
        <w:rPr>
          <w:rFonts w:ascii="Times" w:hAnsi="Times"/>
          <w:sz w:val="22"/>
          <w:szCs w:val="22"/>
        </w:rPr>
        <w:t xml:space="preserve"> (</w:t>
      </w:r>
      <w:r w:rsidR="0084757A">
        <w:rPr>
          <w:rFonts w:ascii="Times" w:hAnsi="Times"/>
          <w:sz w:val="22"/>
          <w:szCs w:val="22"/>
        </w:rPr>
        <w:t>temporarily</w:t>
      </w:r>
      <w:r w:rsidR="00FD08CD">
        <w:rPr>
          <w:rFonts w:ascii="Times" w:hAnsi="Times"/>
          <w:sz w:val="22"/>
          <w:szCs w:val="22"/>
        </w:rPr>
        <w:t>?),</w:t>
      </w:r>
      <w:r w:rsidR="0084757A">
        <w:rPr>
          <w:rFonts w:ascii="Times" w:hAnsi="Times"/>
          <w:sz w:val="22"/>
          <w:szCs w:val="22"/>
        </w:rPr>
        <w:t xml:space="preserve"> primarily in the digital/virtual realm. </w:t>
      </w:r>
      <w:r w:rsidR="006A230A">
        <w:rPr>
          <w:rFonts w:ascii="Times" w:hAnsi="Times"/>
          <w:sz w:val="22"/>
          <w:szCs w:val="22"/>
        </w:rPr>
        <w:t xml:space="preserve">The </w:t>
      </w:r>
      <w:r w:rsidR="006A230A">
        <w:rPr>
          <w:rFonts w:ascii="Times" w:hAnsi="Times"/>
          <w:sz w:val="22"/>
          <w:szCs w:val="22"/>
        </w:rPr>
        <w:lastRenderedPageBreak/>
        <w:t xml:space="preserve">world has changed over the past 15 years, the practice of law has changed, and law schools struggle to adapt quickly enough to stay relevant and valuable. </w:t>
      </w:r>
    </w:p>
    <w:p w14:paraId="20CBABD5" w14:textId="7269B769" w:rsidR="00516E6D" w:rsidRPr="00516E6D" w:rsidRDefault="006A230A" w:rsidP="0001425F">
      <w:pPr>
        <w:spacing w:before="120" w:line="276" w:lineRule="auto"/>
        <w:jc w:val="both"/>
        <w:rPr>
          <w:rFonts w:ascii="Times" w:hAnsi="Times"/>
          <w:sz w:val="22"/>
          <w:szCs w:val="22"/>
        </w:rPr>
      </w:pPr>
      <w:r>
        <w:rPr>
          <w:rFonts w:ascii="Times" w:hAnsi="Times"/>
          <w:sz w:val="22"/>
          <w:szCs w:val="22"/>
        </w:rPr>
        <w:t>The evolving demands and expectations for law schools are not just issues to be addressed by deans and administrators. Nor can the task of preparing new lawyers be allocated exclusively to clinicians and adjunct instructors of specialized “skills” classes. D</w:t>
      </w:r>
      <w:r w:rsidR="00516E6D">
        <w:rPr>
          <w:rFonts w:ascii="Times" w:hAnsi="Times"/>
          <w:sz w:val="22"/>
          <w:szCs w:val="22"/>
        </w:rPr>
        <w:t xml:space="preserve">octrinal professors </w:t>
      </w:r>
      <w:r w:rsidR="00FD08CD">
        <w:rPr>
          <w:rFonts w:ascii="Times" w:hAnsi="Times"/>
          <w:sz w:val="22"/>
          <w:szCs w:val="22"/>
        </w:rPr>
        <w:t>may want to</w:t>
      </w:r>
      <w:r>
        <w:rPr>
          <w:rFonts w:ascii="Times" w:hAnsi="Times"/>
          <w:sz w:val="22"/>
          <w:szCs w:val="22"/>
        </w:rPr>
        <w:t xml:space="preserve"> also </w:t>
      </w:r>
      <w:r w:rsidR="00516E6D">
        <w:rPr>
          <w:rFonts w:ascii="Times" w:hAnsi="Times"/>
          <w:sz w:val="22"/>
          <w:szCs w:val="22"/>
        </w:rPr>
        <w:t>change their approach in the classroom in response to new industry demands for practice competencie</w:t>
      </w:r>
      <w:r>
        <w:rPr>
          <w:rFonts w:ascii="Times" w:hAnsi="Times"/>
          <w:sz w:val="22"/>
          <w:szCs w:val="22"/>
        </w:rPr>
        <w:t xml:space="preserve">s and evolving attorney roles in an ever-changing marketplace, but have our </w:t>
      </w:r>
      <w:r w:rsidR="00516E6D">
        <w:rPr>
          <w:rFonts w:ascii="Times" w:hAnsi="Times"/>
          <w:sz w:val="22"/>
          <w:szCs w:val="22"/>
        </w:rPr>
        <w:t xml:space="preserve">pedagogical </w:t>
      </w:r>
      <w:r>
        <w:rPr>
          <w:rFonts w:ascii="Times" w:hAnsi="Times"/>
          <w:sz w:val="22"/>
          <w:szCs w:val="22"/>
        </w:rPr>
        <w:t>approaches</w:t>
      </w:r>
      <w:r w:rsidR="00516E6D">
        <w:rPr>
          <w:rFonts w:ascii="Times" w:hAnsi="Times"/>
          <w:sz w:val="22"/>
          <w:szCs w:val="22"/>
        </w:rPr>
        <w:t xml:space="preserve"> adequately adapted to this new world?</w:t>
      </w:r>
      <w:r>
        <w:rPr>
          <w:rFonts w:ascii="Times" w:hAnsi="Times"/>
          <w:sz w:val="22"/>
          <w:szCs w:val="22"/>
        </w:rPr>
        <w:t xml:space="preserve"> And how has law schools’ increasing reliance on adjunct professors impacted the students’ experience and preparation for the bar and beyond?</w:t>
      </w:r>
      <w:r w:rsidR="0084757A">
        <w:rPr>
          <w:rFonts w:ascii="Times" w:hAnsi="Times"/>
          <w:sz w:val="22"/>
          <w:szCs w:val="22"/>
        </w:rPr>
        <w:t xml:space="preserve"> In short: In what ways do we need to rethink </w:t>
      </w:r>
      <w:r w:rsidR="0084757A" w:rsidRPr="00FD08CD">
        <w:rPr>
          <w:rFonts w:ascii="Times" w:hAnsi="Times"/>
          <w:i/>
          <w:sz w:val="22"/>
          <w:szCs w:val="22"/>
        </w:rPr>
        <w:t>what</w:t>
      </w:r>
      <w:r w:rsidR="0084757A">
        <w:rPr>
          <w:rFonts w:ascii="Times" w:hAnsi="Times"/>
          <w:sz w:val="22"/>
          <w:szCs w:val="22"/>
        </w:rPr>
        <w:t xml:space="preserve"> we teach and </w:t>
      </w:r>
      <w:r w:rsidR="0084757A" w:rsidRPr="00FD08CD">
        <w:rPr>
          <w:rFonts w:ascii="Times" w:hAnsi="Times"/>
          <w:i/>
          <w:sz w:val="22"/>
          <w:szCs w:val="22"/>
        </w:rPr>
        <w:t>how</w:t>
      </w:r>
      <w:r w:rsidR="0084757A">
        <w:rPr>
          <w:rFonts w:ascii="Times" w:hAnsi="Times"/>
          <w:sz w:val="22"/>
          <w:szCs w:val="22"/>
        </w:rPr>
        <w:t xml:space="preserve"> we teach it in order to remain optimally relevant to tomorrow’s lawyers. </w:t>
      </w:r>
    </w:p>
    <w:p w14:paraId="3EE6D185" w14:textId="77777777" w:rsidR="0001425F" w:rsidRDefault="00516E6D" w:rsidP="0001425F">
      <w:pPr>
        <w:spacing w:before="240" w:line="276" w:lineRule="auto"/>
        <w:rPr>
          <w:rFonts w:ascii="Times New Roman" w:eastAsia="Times New Roman" w:hAnsi="Times New Roman" w:cs="Times New Roman"/>
          <w:b/>
          <w:color w:val="000000"/>
          <w:sz w:val="22"/>
          <w:szCs w:val="22"/>
        </w:rPr>
      </w:pPr>
      <w:r w:rsidRPr="0001425F">
        <w:rPr>
          <w:rFonts w:ascii="Times New Roman" w:eastAsia="Times New Roman" w:hAnsi="Times New Roman" w:cs="Times New Roman"/>
          <w:b/>
          <w:color w:val="000000"/>
          <w:sz w:val="22"/>
          <w:szCs w:val="22"/>
          <w:u w:val="single"/>
        </w:rPr>
        <w:t>Eligibility:</w:t>
      </w:r>
    </w:p>
    <w:p w14:paraId="5F2A3E3D" w14:textId="69DBD424" w:rsidR="00516E6D" w:rsidRPr="0001425F" w:rsidRDefault="00516E6D" w:rsidP="0001425F">
      <w:pPr>
        <w:spacing w:before="120" w:line="276" w:lineRule="auto"/>
        <w:rPr>
          <w:rFonts w:ascii="Times New Roman" w:eastAsia="Times New Roman" w:hAnsi="Times New Roman" w:cs="Times New Roman"/>
          <w:b/>
          <w:color w:val="000000"/>
          <w:sz w:val="22"/>
          <w:szCs w:val="22"/>
        </w:rPr>
      </w:pPr>
      <w:r w:rsidRPr="00516E6D">
        <w:rPr>
          <w:rFonts w:ascii="Times New Roman" w:eastAsia="Times New Roman" w:hAnsi="Times New Roman" w:cs="Times New Roman"/>
          <w:color w:val="000000"/>
          <w:sz w:val="22"/>
          <w:szCs w:val="22"/>
        </w:rPr>
        <w:t xml:space="preserve">Per AALS rules, </w:t>
      </w:r>
      <w:r w:rsidR="00014FAC">
        <w:rPr>
          <w:rFonts w:ascii="Times New Roman" w:eastAsia="Times New Roman" w:hAnsi="Times New Roman" w:cs="Times New Roman"/>
          <w:color w:val="000000"/>
          <w:sz w:val="22"/>
          <w:szCs w:val="22"/>
        </w:rPr>
        <w:t>f</w:t>
      </w:r>
      <w:r w:rsidRPr="00516E6D">
        <w:rPr>
          <w:rFonts w:ascii="Times New Roman" w:eastAsia="Times New Roman" w:hAnsi="Times New Roman" w:cs="Times New Roman"/>
          <w:color w:val="000000"/>
          <w:sz w:val="22"/>
          <w:szCs w:val="22"/>
        </w:rPr>
        <w:t>aculty at fee-paid law schools, foreign faculty, adjunct and visiting faculty (without a full-time position at an AALS member law school), graduate students, fellows, and non-law school faculty are not eligible to submit</w:t>
      </w:r>
      <w:r w:rsidR="00014FAC">
        <w:rPr>
          <w:rFonts w:ascii="Times New Roman" w:eastAsia="Times New Roman" w:hAnsi="Times New Roman" w:cs="Times New Roman"/>
          <w:color w:val="000000"/>
          <w:sz w:val="22"/>
          <w:szCs w:val="22"/>
        </w:rPr>
        <w:t xml:space="preserve"> a statement of interest</w:t>
      </w:r>
      <w:r w:rsidRPr="00516E6D">
        <w:rPr>
          <w:rFonts w:ascii="Times New Roman" w:eastAsia="Times New Roman" w:hAnsi="Times New Roman" w:cs="Times New Roman"/>
          <w:color w:val="000000"/>
          <w:sz w:val="22"/>
          <w:szCs w:val="22"/>
        </w:rPr>
        <w:t>.</w:t>
      </w:r>
    </w:p>
    <w:p w14:paraId="14F8EB5D" w14:textId="77777777" w:rsidR="00014FAC" w:rsidRPr="00516E6D" w:rsidRDefault="00014FAC" w:rsidP="00FD08CD">
      <w:pPr>
        <w:spacing w:line="276" w:lineRule="auto"/>
        <w:rPr>
          <w:rFonts w:ascii="Times New Roman" w:hAnsi="Times New Roman" w:cs="Times New Roman"/>
          <w:sz w:val="22"/>
          <w:szCs w:val="22"/>
        </w:rPr>
      </w:pPr>
    </w:p>
    <w:sectPr w:rsidR="00014FAC" w:rsidRPr="00516E6D" w:rsidSect="00431E5A">
      <w:pgSz w:w="12240" w:h="15840"/>
      <w:pgMar w:top="100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D6EC3"/>
    <w:multiLevelType w:val="hybridMultilevel"/>
    <w:tmpl w:val="DA92AF66"/>
    <w:lvl w:ilvl="0" w:tplc="F488B240">
      <w:start w:val="20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565E00"/>
    <w:multiLevelType w:val="hybridMultilevel"/>
    <w:tmpl w:val="663C7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380362"/>
    <w:multiLevelType w:val="hybridMultilevel"/>
    <w:tmpl w:val="2C8A2B62"/>
    <w:lvl w:ilvl="0" w:tplc="8A882B66">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00F2DC7"/>
    <w:multiLevelType w:val="hybridMultilevel"/>
    <w:tmpl w:val="C18A67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CFB"/>
    <w:rsid w:val="000133FF"/>
    <w:rsid w:val="0001425F"/>
    <w:rsid w:val="00014FAC"/>
    <w:rsid w:val="000A5CFB"/>
    <w:rsid w:val="00117A98"/>
    <w:rsid w:val="001538A8"/>
    <w:rsid w:val="001B2B96"/>
    <w:rsid w:val="001C5659"/>
    <w:rsid w:val="002F23A9"/>
    <w:rsid w:val="003D2B7E"/>
    <w:rsid w:val="00431E5A"/>
    <w:rsid w:val="0050098A"/>
    <w:rsid w:val="00516E6D"/>
    <w:rsid w:val="00527364"/>
    <w:rsid w:val="006A230A"/>
    <w:rsid w:val="00762366"/>
    <w:rsid w:val="00801A8F"/>
    <w:rsid w:val="008077CD"/>
    <w:rsid w:val="008202A9"/>
    <w:rsid w:val="00822BB9"/>
    <w:rsid w:val="0084757A"/>
    <w:rsid w:val="00A22103"/>
    <w:rsid w:val="00A44B13"/>
    <w:rsid w:val="00A71F4F"/>
    <w:rsid w:val="00AA681A"/>
    <w:rsid w:val="00B80356"/>
    <w:rsid w:val="00BB0962"/>
    <w:rsid w:val="00BC7F3D"/>
    <w:rsid w:val="00C46D92"/>
    <w:rsid w:val="00DF3608"/>
    <w:rsid w:val="00F52649"/>
    <w:rsid w:val="00FD0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A007B"/>
  <w14:defaultImageDpi w14:val="32767"/>
  <w15:chartTrackingRefBased/>
  <w15:docId w15:val="{61EAE30D-104E-864C-AD62-98C9B7C78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16E6D"/>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CFB"/>
    <w:pPr>
      <w:ind w:left="720"/>
      <w:contextualSpacing/>
    </w:pPr>
  </w:style>
  <w:style w:type="character" w:styleId="Strong">
    <w:name w:val="Strong"/>
    <w:basedOn w:val="DefaultParagraphFont"/>
    <w:uiPriority w:val="22"/>
    <w:qFormat/>
    <w:rsid w:val="000A5CFB"/>
    <w:rPr>
      <w:b/>
      <w:bCs/>
    </w:rPr>
  </w:style>
  <w:style w:type="character" w:customStyle="1" w:styleId="Heading3Char">
    <w:name w:val="Heading 3 Char"/>
    <w:basedOn w:val="DefaultParagraphFont"/>
    <w:link w:val="Heading3"/>
    <w:uiPriority w:val="9"/>
    <w:rsid w:val="00516E6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16E6D"/>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516E6D"/>
    <w:rPr>
      <w:i/>
      <w:iCs/>
    </w:rPr>
  </w:style>
  <w:style w:type="paragraph" w:styleId="BalloonText">
    <w:name w:val="Balloon Text"/>
    <w:basedOn w:val="Normal"/>
    <w:link w:val="BalloonTextChar"/>
    <w:uiPriority w:val="99"/>
    <w:semiHidden/>
    <w:unhideWhenUsed/>
    <w:rsid w:val="0084757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4757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84757A"/>
    <w:rPr>
      <w:sz w:val="16"/>
      <w:szCs w:val="16"/>
    </w:rPr>
  </w:style>
  <w:style w:type="paragraph" w:styleId="CommentText">
    <w:name w:val="annotation text"/>
    <w:basedOn w:val="Normal"/>
    <w:link w:val="CommentTextChar"/>
    <w:uiPriority w:val="99"/>
    <w:semiHidden/>
    <w:unhideWhenUsed/>
    <w:rsid w:val="0084757A"/>
    <w:rPr>
      <w:sz w:val="20"/>
      <w:szCs w:val="20"/>
    </w:rPr>
  </w:style>
  <w:style w:type="character" w:customStyle="1" w:styleId="CommentTextChar">
    <w:name w:val="Comment Text Char"/>
    <w:basedOn w:val="DefaultParagraphFont"/>
    <w:link w:val="CommentText"/>
    <w:uiPriority w:val="99"/>
    <w:semiHidden/>
    <w:rsid w:val="0084757A"/>
    <w:rPr>
      <w:sz w:val="20"/>
      <w:szCs w:val="20"/>
    </w:rPr>
  </w:style>
  <w:style w:type="paragraph" w:styleId="CommentSubject">
    <w:name w:val="annotation subject"/>
    <w:basedOn w:val="CommentText"/>
    <w:next w:val="CommentText"/>
    <w:link w:val="CommentSubjectChar"/>
    <w:uiPriority w:val="99"/>
    <w:semiHidden/>
    <w:unhideWhenUsed/>
    <w:rsid w:val="0084757A"/>
    <w:rPr>
      <w:b/>
      <w:bCs/>
    </w:rPr>
  </w:style>
  <w:style w:type="character" w:customStyle="1" w:styleId="CommentSubjectChar">
    <w:name w:val="Comment Subject Char"/>
    <w:basedOn w:val="CommentTextChar"/>
    <w:link w:val="CommentSubject"/>
    <w:uiPriority w:val="99"/>
    <w:semiHidden/>
    <w:rsid w:val="008475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780103">
      <w:bodyDiv w:val="1"/>
      <w:marLeft w:val="0"/>
      <w:marRight w:val="0"/>
      <w:marTop w:val="0"/>
      <w:marBottom w:val="0"/>
      <w:divBdr>
        <w:top w:val="none" w:sz="0" w:space="0" w:color="auto"/>
        <w:left w:val="none" w:sz="0" w:space="0" w:color="auto"/>
        <w:bottom w:val="none" w:sz="0" w:space="0" w:color="auto"/>
        <w:right w:val="none" w:sz="0" w:space="0" w:color="auto"/>
      </w:divBdr>
      <w:divsChild>
        <w:div w:id="1556313275">
          <w:marLeft w:val="0"/>
          <w:marRight w:val="0"/>
          <w:marTop w:val="0"/>
          <w:marBottom w:val="0"/>
          <w:divBdr>
            <w:top w:val="none" w:sz="0" w:space="0" w:color="auto"/>
            <w:left w:val="none" w:sz="0" w:space="0" w:color="auto"/>
            <w:bottom w:val="none" w:sz="0" w:space="0" w:color="auto"/>
            <w:right w:val="none" w:sz="0" w:space="0" w:color="auto"/>
          </w:divBdr>
          <w:divsChild>
            <w:div w:id="978653498">
              <w:marLeft w:val="0"/>
              <w:marRight w:val="0"/>
              <w:marTop w:val="0"/>
              <w:marBottom w:val="0"/>
              <w:divBdr>
                <w:top w:val="none" w:sz="0" w:space="0" w:color="auto"/>
                <w:left w:val="none" w:sz="0" w:space="0" w:color="auto"/>
                <w:bottom w:val="none" w:sz="0" w:space="0" w:color="auto"/>
                <w:right w:val="none" w:sz="0" w:space="0" w:color="auto"/>
              </w:divBdr>
              <w:divsChild>
                <w:div w:id="1281229505">
                  <w:marLeft w:val="0"/>
                  <w:marRight w:val="0"/>
                  <w:marTop w:val="0"/>
                  <w:marBottom w:val="0"/>
                  <w:divBdr>
                    <w:top w:val="none" w:sz="0" w:space="0" w:color="auto"/>
                    <w:left w:val="none" w:sz="0" w:space="0" w:color="auto"/>
                    <w:bottom w:val="none" w:sz="0" w:space="0" w:color="auto"/>
                    <w:right w:val="none" w:sz="0" w:space="0" w:color="auto"/>
                  </w:divBdr>
                </w:div>
              </w:divsChild>
            </w:div>
            <w:div w:id="1861581034">
              <w:marLeft w:val="0"/>
              <w:marRight w:val="0"/>
              <w:marTop w:val="0"/>
              <w:marBottom w:val="0"/>
              <w:divBdr>
                <w:top w:val="none" w:sz="0" w:space="0" w:color="auto"/>
                <w:left w:val="none" w:sz="0" w:space="0" w:color="auto"/>
                <w:bottom w:val="none" w:sz="0" w:space="0" w:color="auto"/>
                <w:right w:val="none" w:sz="0" w:space="0" w:color="auto"/>
              </w:divBdr>
              <w:divsChild>
                <w:div w:id="18619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863437">
      <w:bodyDiv w:val="1"/>
      <w:marLeft w:val="0"/>
      <w:marRight w:val="0"/>
      <w:marTop w:val="0"/>
      <w:marBottom w:val="0"/>
      <w:divBdr>
        <w:top w:val="none" w:sz="0" w:space="0" w:color="auto"/>
        <w:left w:val="none" w:sz="0" w:space="0" w:color="auto"/>
        <w:bottom w:val="none" w:sz="0" w:space="0" w:color="auto"/>
        <w:right w:val="none" w:sz="0" w:space="0" w:color="auto"/>
      </w:divBdr>
      <w:divsChild>
        <w:div w:id="778185880">
          <w:marLeft w:val="0"/>
          <w:marRight w:val="0"/>
          <w:marTop w:val="150"/>
          <w:marBottom w:val="150"/>
          <w:divBdr>
            <w:top w:val="none" w:sz="0" w:space="0" w:color="auto"/>
            <w:left w:val="none" w:sz="0" w:space="0" w:color="auto"/>
            <w:bottom w:val="none" w:sz="0" w:space="0" w:color="auto"/>
            <w:right w:val="none" w:sz="0" w:space="0" w:color="auto"/>
          </w:divBdr>
          <w:divsChild>
            <w:div w:id="40418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761819">
      <w:bodyDiv w:val="1"/>
      <w:marLeft w:val="0"/>
      <w:marRight w:val="0"/>
      <w:marTop w:val="0"/>
      <w:marBottom w:val="0"/>
      <w:divBdr>
        <w:top w:val="none" w:sz="0" w:space="0" w:color="auto"/>
        <w:left w:val="none" w:sz="0" w:space="0" w:color="auto"/>
        <w:bottom w:val="none" w:sz="0" w:space="0" w:color="auto"/>
        <w:right w:val="none" w:sz="0" w:space="0" w:color="auto"/>
      </w:divBdr>
    </w:div>
    <w:div w:id="182723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Boyack</dc:creator>
  <cp:keywords/>
  <dc:description/>
  <cp:lastModifiedBy>Baker, Colleen M.</cp:lastModifiedBy>
  <cp:revision>2</cp:revision>
  <cp:lastPrinted>2020-09-02T13:21:00Z</cp:lastPrinted>
  <dcterms:created xsi:type="dcterms:W3CDTF">2020-09-03T18:17:00Z</dcterms:created>
  <dcterms:modified xsi:type="dcterms:W3CDTF">2020-09-03T18:17:00Z</dcterms:modified>
</cp:coreProperties>
</file>